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INSTALLING PROLOG ON YOUR COMPUTER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Locate the installation program here: </w:t>
      </w:r>
    </w:p>
    <w:p>
      <w:pPr>
        <w:pStyle w:val="Normal.0"/>
      </w:pPr>
    </w:p>
    <w:p>
      <w:pPr>
        <w:pStyle w:val="Normal.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"http://gprolog.org/#download"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http://gprolog.org/#download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The Prolog documentation here:</w:t>
      </w:r>
    </w:p>
    <w:p>
      <w:pPr>
        <w:pStyle w:val="Normal.0"/>
      </w:pPr>
    </w:p>
    <w:p>
      <w:pPr>
        <w:pStyle w:val="Normal.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"http://gprolog.org/#manual"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http://gprolog.org/#manual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  <w:r>
        <w:rPr>
          <w:rtl w:val="0"/>
          <w:lang w:val="en-US"/>
        </w:rPr>
        <w:t>Install the program, and go to the prolog startup shortcut in the startup menu.</w:t>
      </w:r>
    </w:p>
    <w:p>
      <w:pPr>
        <w:pStyle w:val="Normal.0"/>
      </w:pPr>
    </w:p>
    <w:p>
      <w:pPr>
        <w:pStyle w:val="Normal.0"/>
      </w:pPr>
      <w:r>
        <w:rPr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-601979</wp:posOffset>
            </wp:positionH>
            <wp:positionV relativeFrom="line">
              <wp:posOffset>149224</wp:posOffset>
            </wp:positionV>
            <wp:extent cx="6903720" cy="51777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5177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  <w:r>
        <w:rPr>
          <w:rtl w:val="0"/>
          <w:lang w:val="en-US"/>
        </w:rPr>
        <w:t>RIGHT-CLICK on the Gnu-Prolog shortcut to and select the properties menu:</w:t>
      </w:r>
    </w:p>
    <w:p>
      <w:pPr>
        <w:pStyle w:val="Normal.0"/>
      </w:pPr>
      <w:r>
        <w:rPr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-472439</wp:posOffset>
            </wp:positionH>
            <wp:positionV relativeFrom="line">
              <wp:posOffset>136525</wp:posOffset>
            </wp:positionV>
            <wp:extent cx="6489700" cy="486727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86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-297815</wp:posOffset>
            </wp:positionH>
            <wp:positionV relativeFrom="line">
              <wp:posOffset>284479</wp:posOffset>
            </wp:positionV>
            <wp:extent cx="2517775" cy="304546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045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Change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Start in: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property to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c:\gnu-prolog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.  This will allow the prolog interpreter to load program files that you save in the directory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c:\gnu-prolog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Click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APPLY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button, then click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OK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button.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Use the start menu again to start the gnu-prolog interpreter.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  <w:r>
        <w:rPr>
          <w:rtl w:val="0"/>
          <w:lang w:val="en-US"/>
        </w:rPr>
        <w:t>Now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see the Prolog interpreter waiting for your instructions:</w:t>
      </w:r>
    </w:p>
    <w:p>
      <w:pPr>
        <w:pStyle w:val="Normal.0"/>
      </w:pPr>
    </w:p>
    <w:p>
      <w:pPr>
        <w:pStyle w:val="Normal.0"/>
      </w:pPr>
      <w:r>
        <w:rPr>
          <w:sz w:val="20"/>
          <w:szCs w:val="20"/>
        </w:rPr>
        <w:drawing>
          <wp:inline distT="0" distB="0" distL="0" distR="0">
            <wp:extent cx="5486400" cy="384505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5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To get anything to work in Prolog, you need to provide a basic set of rules, facts, or relations that you know to be true.  Facts cannot be defined in the interpreter; they must be defined in a file that is LOADED into the interpreter.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To get the examples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going to talk about in class to work, you are going to need to load the facts located in this file:</w:t>
      </w:r>
    </w:p>
    <w:p>
      <w:pPr>
        <w:pStyle w:val="Normal.0"/>
      </w:pPr>
    </w:p>
    <w:p>
      <w:pPr>
        <w:pStyle w:val="Normal.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"http://www.stonehill.edu/compsci/CS323/prolog/family.pl"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http://www.stonehill.edu/compsci/CS323/prolog/family.pl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Save this file to the directory: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c:\gnu-prolog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  <w:r>
        <w:rPr>
          <w:rtl w:val="0"/>
          <w:lang w:val="en-US"/>
        </w:rPr>
        <w:t>Now inside of the prolog interpreter type the following: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[family].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You should see the following: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| ?- [family].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compiling c:\Gnu-Prolog\family.pl for byte code...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c:\Gnu-Prolog\family.pl:27 warning: singleton variables [Tail] for head_basket/1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c:\Gnu-Prolog\family.pl:33 warning: singleton variables [Tail] for mem/2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c:\Gnu-Prolog\family.pl:34 warning: singleton variables [Head] for mem/2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c:\Gnu-Prolog\family.pl:36 warning: singleton variables [List2] for union/3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c:\Gnu-Prolog\family.pl:37 warning: singleton variables [List1] for union/3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 compiled, 44 lines read - 5897 bytes written, 20 ms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yes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try a hello world program.  The family.pl file you just loaded consists of a list of FACTS that the prolog programs we discuss in class will use.  Facts are stated like this: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&lt;relationname&gt;(value1, value2, value3, ... valueN).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For example: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hello(world).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If we want to know whether a fact is true or not, we use the prolog interpreter to create a query.  For example, if we want to know if the fact hello(world) is true, type the following query: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| ?- hello(world).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The interpreter responds with: 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yes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Indicating that this fact is true.  Notice that in the family.pl file, hello(world). is considered to be a FACT, but when you type the same thing in the prolog interpreter, it is considered to be a QUERY.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If we type: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| ?- hello(stonehill).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The interpreter responds with: 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no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Because this fact has not been defined.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We can get a little fancier, by allowing prolog to perform something called a unification query.  This type of query asks prolog to find all values that cause a relation to evaluate to true.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For example: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hello(X).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states,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find all values of X such that hello(X). evaluates to true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 If you look at the family.pl file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see the following facts about the hello relation: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hello(world).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hello(earth).</w:t>
      </w:r>
    </w:p>
    <w:p>
      <w:pPr>
        <w:pStyle w:val="Normal.0"/>
      </w:pPr>
      <w:r>
        <w:rPr>
          <w:rFonts w:ascii="Courier New" w:hAnsi="Courier New"/>
          <w:sz w:val="20"/>
          <w:szCs w:val="20"/>
          <w:rtl w:val="0"/>
          <w:lang w:val="en-US"/>
        </w:rPr>
        <w:t>hello(mars).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When you type this query: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|?- hello(X)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</w:pPr>
      <w:r>
        <w:rPr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column">
                  <wp:posOffset>2179319</wp:posOffset>
                </wp:positionH>
                <wp:positionV relativeFrom="line">
                  <wp:posOffset>7619</wp:posOffset>
                </wp:positionV>
                <wp:extent cx="2346961" cy="937261"/>
                <wp:effectExtent l="0" t="0" r="0" b="0"/>
                <wp:wrapSquare wrapText="bothSides" distL="57150" distR="57150" distT="57150" distB="5715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1" cy="937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Type </w:t>
                            </w:r>
                            <w:r>
                              <w:rPr>
                                <w:rFonts w:ascii="Courier New" w:hAnsi="Courier New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rFonts w:ascii="Courier New" w:hAnsi="Courier New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after each X = ...? to continue the unification process.  If you press ENTER instead, the unification process will terminate.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1.6pt;margin-top:0.6pt;width:184.8pt;height:73.8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urier New" w:hAnsi="Courier New"/>
                          <w:sz w:val="20"/>
                          <w:szCs w:val="20"/>
                          <w:rtl w:val="0"/>
                          <w:lang w:val="en-US"/>
                        </w:rPr>
                        <w:t xml:space="preserve">Type </w:t>
                      </w:r>
                      <w:r>
                        <w:rPr>
                          <w:rFonts w:ascii="Courier New" w:hAnsi="Courier New" w:hint="default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Courier New" w:hAnsi="Courier New"/>
                          <w:sz w:val="20"/>
                          <w:szCs w:val="20"/>
                          <w:rtl w:val="0"/>
                          <w:lang w:val="en-US"/>
                        </w:rPr>
                        <w:t>;</w:t>
                      </w:r>
                      <w:r>
                        <w:rPr>
                          <w:rFonts w:ascii="Courier New" w:hAnsi="Courier New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Courier New" w:hAnsi="Courier New"/>
                          <w:sz w:val="20"/>
                          <w:szCs w:val="20"/>
                          <w:rtl w:val="0"/>
                          <w:lang w:val="en-US"/>
                        </w:rPr>
                        <w:t>after each X = ...? to continue the unification process.  If you press ENTER instead, the unification process will terminate.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tl w:val="0"/>
          <w:lang w:val="en-US"/>
        </w:rPr>
        <w:t>You get these results:</w:t>
      </w:r>
    </w:p>
    <w:p>
      <w:pPr>
        <w:pStyle w:val="Normal.0"/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1048702</wp:posOffset>
                </wp:positionH>
                <wp:positionV relativeFrom="line">
                  <wp:posOffset>138134</wp:posOffset>
                </wp:positionV>
                <wp:extent cx="1112520" cy="10668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2520" cy="1066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2.6pt;margin-top:10.9pt;width:87.6pt;height:8.4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 xml:space="preserve">X = world ? ; 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X = earth ? ;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X = mars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yes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USING AN EDITOR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You use an editor to create prolog FACTS and GOALS.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You use the prolog interpreter to execute queries that use the facts and goals.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You can  use any old editor.  In my case, I just used Microsoft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Visual Studio to open the file:</w:t>
      </w:r>
    </w:p>
    <w:p>
      <w:pPr>
        <w:pStyle w:val="Normal.0"/>
      </w:pPr>
    </w:p>
    <w:p>
      <w:pPr>
        <w:pStyle w:val="Normal.0"/>
        <w:ind w:firstLine="720"/>
      </w:pPr>
      <w:r>
        <w:rPr>
          <w:rtl w:val="0"/>
          <w:lang w:val="en-US"/>
        </w:rPr>
        <w:t xml:space="preserve"> “</w:t>
      </w:r>
      <w:r>
        <w:rPr>
          <w:rtl w:val="0"/>
          <w:lang w:val="en-US"/>
        </w:rPr>
        <w:t>c:\gnu-prolog\family.pl</w:t>
      </w:r>
      <w:r>
        <w:rPr>
          <w:rtl w:val="0"/>
          <w:lang w:val="en-US"/>
        </w:rPr>
        <w:t>”</w:t>
      </w:r>
    </w:p>
    <w:p>
      <w:pPr>
        <w:pStyle w:val="Normal.0"/>
      </w:pPr>
      <w:r>
        <w:rPr>
          <w:sz w:val="20"/>
          <w:szCs w:val="2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-160020</wp:posOffset>
            </wp:positionH>
            <wp:positionV relativeFrom="line">
              <wp:posOffset>143510</wp:posOffset>
            </wp:positionV>
            <wp:extent cx="6339841" cy="463296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1" cy="463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Notice that the beginning of the file contains the hello() relation facts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been using to understand some prolog basics.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During the load process, the prolog interpreter is going to execute the code in your .pl file.  Most of this code is just fact and goal definitions, so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not actually doing any work... just getting ready to do some work by typing a query in the prolog interpreter.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While executing these definitions, the interpreter may encounter syntax errors.  For example, when I removed the last </w:t>
      </w:r>
      <w:r>
        <w:rPr>
          <w:rFonts w:ascii="Courier New" w:hAnsi="Courier New" w:hint="default"/>
          <w:rtl w:val="0"/>
          <w:lang w:val="en-US"/>
        </w:rPr>
        <w:t>‘</w:t>
      </w:r>
      <w:r>
        <w:rPr>
          <w:rFonts w:ascii="Courier New" w:hAnsi="Courier New"/>
          <w:rtl w:val="0"/>
          <w:lang w:val="en-US"/>
        </w:rPr>
        <w:t>)</w:t>
      </w:r>
      <w:r>
        <w:rPr>
          <w:rFonts w:ascii="Courier New" w:hAnsi="Courier New" w:hint="default"/>
          <w:rtl w:val="0"/>
          <w:lang w:val="en-US"/>
        </w:rPr>
        <w:t>’</w:t>
      </w:r>
      <w:r>
        <w:rPr>
          <w:rtl w:val="0"/>
          <w:lang w:val="en-US"/>
        </w:rPr>
        <w:t xml:space="preserve"> from the definition of the </w:t>
      </w:r>
      <w:r>
        <w:rPr>
          <w:rFonts w:ascii="Courier New" w:hAnsi="Courier New"/>
          <w:sz w:val="20"/>
          <w:szCs w:val="20"/>
          <w:rtl w:val="0"/>
          <w:lang w:val="en-US"/>
        </w:rPr>
        <w:t>hello(mars</w:t>
      </w:r>
      <w:r>
        <w:rPr>
          <w:rtl w:val="0"/>
          <w:lang w:val="en-US"/>
        </w:rPr>
        <w:t xml:space="preserve"> fact I get this when I load the </w:t>
      </w:r>
      <w:r>
        <w:rPr>
          <w:rFonts w:ascii="Courier New" w:hAnsi="Courier New"/>
          <w:rtl w:val="0"/>
          <w:lang w:val="en-US"/>
        </w:rPr>
        <w:t>family.pl</w:t>
      </w:r>
      <w:r>
        <w:rPr>
          <w:rtl w:val="0"/>
          <w:lang w:val="en-US"/>
        </w:rPr>
        <w:t xml:space="preserve"> file: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| ?- [family].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compiling c:\Gnu-Prolog\family.pl for byte code...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 error: syntax error: , or ) expected (char:11)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c:\Gnu-Prolog\family.pl:30 warning: singleton variables [Tail] for head_basket/1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c:\Gnu-Prolog\family.pl:36 warning: singleton variables [Tail] for mem/2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c:\Gnu-Prolog\family.pl:37 warning: singleton variables [Head] for mem/2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c:\Gnu-Prolog\family.pl:39 warning: singleton variables [List2] for union/3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c:\Gnu-Prolog\family.pl:40 warning: singleton variables [List1] for union/3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 xml:space="preserve"> 1 error(s)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compilation failed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When this happens, you need to: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look at the code in the XXX.pl file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correct the problem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save the XXX.pl file again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RELOAD the .pl file in the prolog interpreter using the [XXX].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Heading 1"/>
        <w:rPr>
          <w:sz w:val="32"/>
          <w:szCs w:val="32"/>
        </w:rPr>
      </w:pPr>
      <w:r>
        <w:rPr>
          <w:rFonts w:cs="Arial Unicode MS" w:eastAsia="Arial Unicode MS"/>
          <w:sz w:val="32"/>
          <w:szCs w:val="32"/>
          <w:rtl w:val="0"/>
          <w:lang w:val="en-US"/>
        </w:rPr>
        <w:t>OTHER USEFUL FUNCTIONS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Use:</w:t>
      </w:r>
    </w:p>
    <w:p>
      <w:pPr>
        <w:pStyle w:val="Normal.0"/>
        <w:rPr>
          <w:rFonts w:ascii="Courier New" w:cs="Courier New" w:hAnsi="Courier New" w:eastAsia="Courier New"/>
        </w:rPr>
      </w:pPr>
      <w:r>
        <w:tab/>
      </w:r>
      <w:r>
        <w:rPr>
          <w:rFonts w:ascii="Courier New" w:hAnsi="Courier New"/>
          <w:rtl w:val="0"/>
          <w:lang w:val="en-US"/>
        </w:rPr>
        <w:t>trace.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To observe how prolog implements the resolution of a query.  As you watch the traces of several queries you will develop an understanding how prolog uses a left to right order of evaluation of subgoals, depth first search, and backtracking for resolution. 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ll also see that the order you specify facts in your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.pl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file influences the resolution process.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For example, 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a trace of the </w:t>
      </w:r>
      <w:r>
        <w:rPr>
          <w:rFonts w:ascii="Courier New" w:hAnsi="Courier New"/>
          <w:rtl w:val="0"/>
          <w:lang w:val="en-US"/>
        </w:rPr>
        <w:t>hello(X)</w:t>
      </w:r>
      <w:r>
        <w:rPr>
          <w:rtl w:val="0"/>
          <w:lang w:val="en-US"/>
        </w:rPr>
        <w:t xml:space="preserve"> query:</w:t>
      </w:r>
    </w:p>
    <w:p>
      <w:pPr>
        <w:pStyle w:val="Normal.0"/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| ?- trace.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The debugger will first creep -- showing everything (trace)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(10 ms) yes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{trace}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| ?- hello(X).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Call: hello(_16) ? 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Exit: hello(world) ? 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X = world ? ;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Redo: hello(world) ? 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Exit: hello(earth) ? 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X = earth ? ;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Redo: hello(earth) ? </w:t>
      </w: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1    1  Exit: hello(mars) ? 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X = mars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(10 ms) yes</w:t>
      </w:r>
    </w:p>
    <w:p>
      <w:pPr>
        <w:pStyle w:val="Normal.0"/>
      </w:pPr>
      <w:r>
        <w:rPr>
          <w:rFonts w:ascii="Courier New" w:hAnsi="Courier New"/>
          <w:rtl w:val="0"/>
          <w:lang w:val="en-US"/>
        </w:rPr>
        <w:t>{trace}</w:t>
      </w:r>
    </w:p>
    <w:sectPr>
      <w:headerReference w:type="default" r:id="rId9"/>
      <w:footerReference w:type="default" r:id="rId10"/>
      <w:pgSz w:w="12240" w:h="15840" w:orient="portrait"/>
      <w:pgMar w:top="1440" w:right="45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